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2607945</wp:posOffset>
                  </wp:positionH>
                  <wp:positionV relativeFrom="paragraph">
                    <wp:posOffset>27940</wp:posOffset>
                  </wp:positionV>
                  <wp:extent cx="887095" cy="985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887095" cy="985520"/>
                          </a:xfrm>
                          <a:prstGeom prst="rect">
                            <a:avLst/>
                          </a:prstGeom>
                        </pic:spPr>
                      </pic:pic>
                    </a:graphicData>
                  </a:graphic>
                </wp:anchor>
              </w:drawing>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DÉCLARATION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l’Intérieur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75 800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6"/>
          <w:szCs w:val="36"/>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Écrous noyés</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Bookmark_Copie_1_Copie_1"/>
      <w:bookmarkStart w:id="6" w:name="Bookmark_Copie_1_Copie_1_Copie_1"/>
      <w:bookmarkStart w:id="7" w:name="Bookmark_Copie_1_Copie_1_Copie_1_Copie_1"/>
      <w:bookmarkStart w:id="8" w:name="Bookmark_Copie_1_Copie_1_Copie_1_Copie_2"/>
      <w:bookmarkStart w:id="9" w:name="Unnamed_Copie_1"/>
      <w:bookmarkStart w:id="10" w:name="Bookmark_Copie_1_Copie_1_Copie_1_Copie_2"/>
      <w:bookmarkStart w:id="11" w:name="Bookmark_Copie_1_Copie_1_Copie_1_Copie_1"/>
      <w:bookmarkStart w:id="12" w:name="Bookmark_Copie_1_Copie_1_Copie_1"/>
      <w:bookmarkStart w:id="13" w:name="Bookmark_Copie_1_Copie_1"/>
      <w:bookmarkStart w:id="14" w:name="Bookmark_Copie_1"/>
      <w:bookmarkEnd w:id="5"/>
      <w:bookmarkEnd w:id="6"/>
      <w:bookmarkEnd w:id="7"/>
      <w:bookmarkEnd w:id="8"/>
      <w:bookmarkEnd w:id="9"/>
      <w:bookmarkEnd w:id="10"/>
      <w:bookmarkEnd w:id="11"/>
      <w:bookmarkEnd w:id="12"/>
      <w:bookmarkEnd w:id="13"/>
      <w:bookmarkEnd w:id="14"/>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tru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tru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tru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tru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tru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tru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15" w:name="Bookmark_Copie_2"/>
      <w:bookmarkStart w:id="16" w:name="Bookmark_Copie_2"/>
      <w:bookmarkEnd w:id="16"/>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17" w:name="Bookmark_Copie_2_Copie_1"/>
      <w:bookmarkStart w:id="18" w:name="Bookmark_Copie_2_Copie_1_Copie_1"/>
      <w:bookmarkStart w:id="19" w:name="Bookmark_Copie_2_Copie_1_Copie_1_Copie_1"/>
      <w:bookmarkStart w:id="20" w:name="Bookmark_Copie_2_Copie_1_Copie_1_Copie_2"/>
      <w:bookmarkStart w:id="21" w:name="Unnamed_Copie_2"/>
      <w:bookmarkStart w:id="22" w:name="Bookmark_Copie_2_Copie_1_Copie_1_Copie_2"/>
      <w:bookmarkStart w:id="23" w:name="Bookmark_Copie_2_Copie_1_Copie_1_Copie_1"/>
      <w:bookmarkStart w:id="24" w:name="Bookmark_Copie_2_Copie_1_Copie_1"/>
      <w:bookmarkStart w:id="25" w:name="Bookmark_Copie_2_Copie_1"/>
      <w:bookmarkStart w:id="26" w:name="Bookmark_Copie_2"/>
      <w:bookmarkEnd w:id="17"/>
      <w:bookmarkEnd w:id="18"/>
      <w:bookmarkEnd w:id="19"/>
      <w:bookmarkEnd w:id="20"/>
      <w:bookmarkEnd w:id="21"/>
      <w:bookmarkEnd w:id="22"/>
      <w:bookmarkEnd w:id="23"/>
      <w:bookmarkEnd w:id="24"/>
      <w:bookmarkEnd w:id="25"/>
      <w:bookmarkEnd w:id="26"/>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tru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z w:val="22"/>
          <w:szCs w:val="22"/>
        </w:rPr>
        <w:t> </w:t>
      </w:r>
      <w:r>
        <w:rPr>
          <w:rFonts w:cs="Arial" w:ascii="Marianne" w:hAnsi="Marianne"/>
          <w:b/>
          <w:bCs/>
          <w:i w:val="false"/>
          <w:iCs w:val="fals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tru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F2 – Autres informations requises par l’acheteur au titre de la capacité économique et financière</w:t>
      </w:r>
    </w:p>
    <w:p>
      <w:pPr>
        <w:pStyle w:val="Normal"/>
        <w:jc w:val="both"/>
        <w:rPr>
          <w:sz w:val="22"/>
          <w:szCs w:val="22"/>
        </w:rPr>
      </w:pPr>
      <w:r>
        <w:rPr>
          <w:rFonts w:cs="Arial" w:ascii="Marianne" w:hAnsi="Marianne"/>
          <w:i/>
          <w:sz w:val="22"/>
          <w:szCs w:val="22"/>
        </w:rPr>
        <w:t>Les principales références similaires à l’objet de l’accord-cadre sur les 3 dernières années.</w:t>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G1 - </w:t>
      </w:r>
      <w:r>
        <w:rPr>
          <w:rFonts w:cs="Arial" w:ascii="Marianne" w:hAnsi="Marianne"/>
          <w:b w:val="false"/>
          <w:bCs w:val="false"/>
          <w:color w:val="000000"/>
          <w:sz w:val="21"/>
          <w:szCs w:val="21"/>
          <w:shd w:fill="auto" w:val="clear"/>
        </w:rPr>
        <w:t xml:space="preserve"> </w:t>
      </w:r>
      <w:r>
        <w:rPr>
          <w:rFonts w:cs="Arial" w:ascii="Marianne" w:hAnsi="Marianne"/>
          <w:b/>
          <w:bCs/>
          <w:color w:val="000000"/>
          <w:sz w:val="21"/>
          <w:szCs w:val="21"/>
          <w:shd w:fill="auto" w:val="clear"/>
        </w:rPr>
        <w:t xml:space="preserve">la liste des principales références de contrats en rapport avec l’objet </w:t>
      </w:r>
      <w:r>
        <w:rPr>
          <w:rFonts w:eastAsia="Times" w:cs="Arial" w:ascii="Marianne" w:hAnsi="Marianne"/>
          <w:b/>
          <w:bCs/>
          <w:color w:val="000000"/>
          <w:sz w:val="21"/>
          <w:szCs w:val="21"/>
          <w:shd w:fill="auto" w:val="clear"/>
          <w:lang w:val="fr-FR" w:bidi="ar-SA"/>
        </w:rPr>
        <w:t>de l’accord-cadre</w:t>
      </w:r>
      <w:r>
        <w:rPr>
          <w:rFonts w:cs="Arial" w:ascii="Marianne" w:hAnsi="Marianne"/>
          <w:b/>
          <w:bCs/>
          <w:color w:val="000000"/>
          <w:sz w:val="21"/>
          <w:szCs w:val="21"/>
          <w:shd w:fill="auto" w:val="clear"/>
        </w:rPr>
        <w:t xml:space="preserve">, exécutés sur les trois dernières années, indiquant les montants, dates et destinataires. </w:t>
      </w:r>
      <w:r>
        <w:rPr>
          <w:rFonts w:eastAsia="Times" w:cs="Arial" w:ascii="Marianne" w:hAnsi="Marianne"/>
          <w:b/>
          <w:bCs/>
          <w:color w:val="000000"/>
          <w:sz w:val="21"/>
          <w:szCs w:val="21"/>
          <w:shd w:fill="auto" w:val="clear"/>
        </w:rPr>
        <w:t>À</w:t>
      </w:r>
      <w:r>
        <w:rPr>
          <w:rFonts w:eastAsia="Times" w:cs="Arial" w:ascii="Liberation Sans" w:hAnsi="Liberation Sans"/>
          <w:b/>
          <w:bCs/>
          <w:color w:val="000000"/>
          <w:sz w:val="21"/>
          <w:szCs w:val="21"/>
          <w:shd w:fill="auto" w:val="clear"/>
        </w:rPr>
        <w:t xml:space="preserve"> </w:t>
      </w:r>
      <w:r>
        <w:rPr>
          <w:rFonts w:cs="Arial" w:ascii="Marianne" w:hAnsi="Marianne"/>
          <w:b/>
          <w:bCs/>
          <w:color w:val="000000"/>
          <w:sz w:val="21"/>
          <w:szCs w:val="21"/>
          <w:shd w:fill="auto" w:val="clear"/>
        </w:rPr>
        <w:t xml:space="preserve">défaut de références, tout moyen de preuve que le candidat juge pertinent au regard de l’objet du </w:t>
      </w:r>
      <w:r>
        <w:rPr>
          <w:rFonts w:eastAsia="Times" w:cs="Arial" w:ascii="Marianne" w:hAnsi="Marianne"/>
          <w:b/>
          <w:bCs/>
          <w:color w:val="000000"/>
          <w:sz w:val="21"/>
          <w:szCs w:val="21"/>
          <w:shd w:fill="auto" w:val="clear"/>
          <w:lang w:val="fr-FR" w:bidi="ar-SA"/>
        </w:rPr>
        <w:t>marché</w:t>
      </w:r>
      <w:r>
        <w:rPr>
          <w:rFonts w:cs="Arial" w:ascii="Marianne" w:hAnsi="Marianne"/>
          <w:b/>
          <w:bCs/>
          <w:color w:val="000000"/>
          <w:sz w:val="21"/>
          <w:szCs w:val="21"/>
          <w:shd w:fill="auto" w:val="clear"/>
        </w:rPr>
        <w:t>. Les livraisons sont prouvées par des attestations du destinataire ou, à défaut, par une déclaration de l’opérateur économique.</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5100"/>
        <w:gridCol w:w="5059"/>
      </w:tblGrid>
      <w:tr>
        <w:trPr>
          <w:trHeight w:val="1200" w:hRule="atLeast"/>
        </w:trPr>
        <w:tc>
          <w:tcPr>
            <w:tcW w:w="5100"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5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5100"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59"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5100"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59"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5100"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59"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5100"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59"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5100"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59"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5100"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59"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5100"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59"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 w:name="Garamond">
    <w:charset w:val="01"/>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3"/>
      <w:gridCol w:w="4696"/>
      <w:gridCol w:w="900"/>
      <w:gridCol w:w="535"/>
      <w:gridCol w:w="185"/>
      <w:gridCol w:w="530"/>
    </w:tblGrid>
    <w:tr>
      <w:trPr>
        <w:tblHeader w:val="true"/>
        <w:trHeight w:val="176" w:hRule="atLeast"/>
      </w:trPr>
      <w:tc>
        <w:tcPr>
          <w:tcW w:w="3303"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96"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171 Écrous noyés</w:t>
          </w:r>
        </w:p>
      </w:tc>
      <w:tc>
        <w:tcPr>
          <w:tcW w:w="900"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5"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0"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3"/>
      <w:gridCol w:w="4696"/>
      <w:gridCol w:w="900"/>
      <w:gridCol w:w="535"/>
      <w:gridCol w:w="185"/>
      <w:gridCol w:w="530"/>
    </w:tblGrid>
    <w:tr>
      <w:trPr>
        <w:tblHeader w:val="true"/>
        <w:trHeight w:val="176" w:hRule="atLeast"/>
      </w:trPr>
      <w:tc>
        <w:tcPr>
          <w:tcW w:w="3303"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96"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171 Écrous noyés</w:t>
          </w:r>
        </w:p>
      </w:tc>
      <w:tc>
        <w:tcPr>
          <w:tcW w:w="900"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5"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0"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85"/>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EndnoteCharacters111111111">
    <w:name w:val="Endnote Characters1111111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InternetLink9">
    <w:name w:val="Internet Link9"/>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1705</Words>
  <Characters>9216</Characters>
  <CharactersWithSpaces>10821</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2025-11-24T10:46:02Z</dcterms:created>
  <dc:creator/>
  <dc:description/>
  <dc:language>fr-FR</dc:language>
  <cp:lastModifiedBy/>
  <cp:revision>1</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